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2002" w14:textId="2A670249" w:rsidR="00F17715" w:rsidRPr="00373E00" w:rsidRDefault="00373E00" w:rsidP="00373E00">
      <w:pPr>
        <w:jc w:val="center"/>
        <w:rPr>
          <w:b/>
          <w:bCs/>
          <w:lang w:val="es-ES"/>
        </w:rPr>
      </w:pPr>
      <w:r w:rsidRPr="00373E00">
        <w:rPr>
          <w:b/>
          <w:bCs/>
          <w:lang w:val="es-ES"/>
        </w:rPr>
        <w:t>Ficha Caracterización de Buenas Prácticas en Equidad de Género en el Sector Empresarial Antioqueño</w:t>
      </w:r>
    </w:p>
    <w:p w14:paraId="4CCF66B0" w14:textId="4BA3424E" w:rsidR="00373E00" w:rsidRDefault="00373E00" w:rsidP="00373E00">
      <w:pPr>
        <w:jc w:val="center"/>
        <w:rPr>
          <w:lang w:val="es-ES"/>
        </w:rPr>
      </w:pPr>
    </w:p>
    <w:tbl>
      <w:tblPr>
        <w:tblW w:w="9442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23"/>
      </w:tblGrid>
      <w:tr w:rsidR="00373E00" w:rsidRPr="00373E00" w14:paraId="24697061" w14:textId="77777777" w:rsidTr="00357BF3">
        <w:trPr>
          <w:trHeight w:val="526"/>
          <w:jc w:val="center"/>
        </w:trPr>
        <w:tc>
          <w:tcPr>
            <w:tcW w:w="9442" w:type="dxa"/>
            <w:gridSpan w:val="2"/>
            <w:shd w:val="clear" w:color="auto" w:fill="4F81BD"/>
            <w:vAlign w:val="center"/>
          </w:tcPr>
          <w:p w14:paraId="77FF9E51" w14:textId="67C0399F" w:rsidR="00373E00" w:rsidRPr="00373E00" w:rsidRDefault="00373E00" w:rsidP="00357BF3">
            <w:pPr>
              <w:jc w:val="center"/>
              <w:rPr>
                <w:b/>
              </w:rPr>
            </w:pPr>
            <w:r w:rsidRPr="00373E00">
              <w:rPr>
                <w:b/>
                <w:color w:val="FFFFFF" w:themeColor="background1"/>
              </w:rPr>
              <w:t>CARACTERIZACIÓN DE LA EMPRESA</w:t>
            </w:r>
          </w:p>
        </w:tc>
      </w:tr>
      <w:tr w:rsidR="00373E00" w:rsidRPr="00373E00" w14:paraId="008CF359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7C0902E4" w14:textId="52368DF2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Nombre de la Empresa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00C0D3E0" w14:textId="68415F0C" w:rsidR="00373E00" w:rsidRPr="00373E00" w:rsidRDefault="0037057A" w:rsidP="00373E00">
            <w:pPr>
              <w:jc w:val="center"/>
              <w:rPr>
                <w:bCs/>
              </w:rPr>
            </w:pPr>
            <w:r w:rsidRPr="0037057A">
              <w:rPr>
                <w:bCs/>
              </w:rPr>
              <w:t>Globalista</w:t>
            </w:r>
          </w:p>
        </w:tc>
      </w:tr>
      <w:tr w:rsidR="00373E00" w:rsidRPr="00373E00" w14:paraId="5966A051" w14:textId="77777777" w:rsidTr="00AF67D4">
        <w:trPr>
          <w:jc w:val="center"/>
        </w:trPr>
        <w:tc>
          <w:tcPr>
            <w:tcW w:w="3119" w:type="dxa"/>
            <w:tcBorders>
              <w:bottom w:val="single" w:sz="4" w:space="0" w:color="4F81BD"/>
              <w:right w:val="single" w:sz="4" w:space="0" w:color="4F81BD"/>
            </w:tcBorders>
          </w:tcPr>
          <w:p w14:paraId="3A604EF0" w14:textId="1C841D1B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Sector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4F81BD"/>
            </w:tcBorders>
          </w:tcPr>
          <w:p w14:paraId="1BC1159B" w14:textId="5DCCD3F8" w:rsidR="00373E00" w:rsidRPr="00373E00" w:rsidRDefault="0037057A" w:rsidP="00373E00">
            <w:pPr>
              <w:jc w:val="center"/>
              <w:rPr>
                <w:lang w:val="es-ES"/>
              </w:rPr>
            </w:pPr>
            <w:r w:rsidRPr="0037057A">
              <w:rPr>
                <w:lang w:val="es-ES"/>
              </w:rPr>
              <w:t>Servicios/consultoría</w:t>
            </w:r>
          </w:p>
        </w:tc>
      </w:tr>
      <w:tr w:rsidR="00373E00" w:rsidRPr="00373E00" w14:paraId="54275CF9" w14:textId="77777777" w:rsidTr="00AF67D4">
        <w:trPr>
          <w:jc w:val="center"/>
        </w:trPr>
        <w:tc>
          <w:tcPr>
            <w:tcW w:w="3119" w:type="dxa"/>
            <w:tcBorders>
              <w:top w:val="single" w:sz="4" w:space="0" w:color="4F81BD"/>
              <w:right w:val="single" w:sz="4" w:space="0" w:color="4F81BD"/>
            </w:tcBorders>
          </w:tcPr>
          <w:p w14:paraId="5121286E" w14:textId="36ECA52B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Tamaño de la Empresa</w:t>
            </w:r>
          </w:p>
        </w:tc>
        <w:tc>
          <w:tcPr>
            <w:tcW w:w="6323" w:type="dxa"/>
            <w:tcBorders>
              <w:top w:val="single" w:sz="4" w:space="0" w:color="4F81BD"/>
              <w:left w:val="single" w:sz="4" w:space="0" w:color="4F81BD"/>
            </w:tcBorders>
          </w:tcPr>
          <w:p w14:paraId="0018D81C" w14:textId="262975B5" w:rsidR="00373E00" w:rsidRPr="00373E00" w:rsidRDefault="004A4A40" w:rsidP="00373E00">
            <w:pPr>
              <w:jc w:val="center"/>
              <w:rPr>
                <w:bCs/>
              </w:rPr>
            </w:pPr>
            <w:r w:rsidRPr="004A4A40">
              <w:rPr>
                <w:bCs/>
              </w:rPr>
              <w:t>Pequeña</w:t>
            </w:r>
            <w:r>
              <w:rPr>
                <w:bCs/>
              </w:rPr>
              <w:t xml:space="preserve"> </w:t>
            </w:r>
          </w:p>
        </w:tc>
      </w:tr>
      <w:tr w:rsidR="00373E00" w:rsidRPr="00373E00" w14:paraId="184A167C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05269C25" w14:textId="5FFA24DF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Localización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3540F6D5" w14:textId="7D07E283" w:rsidR="00373E00" w:rsidRPr="00373E00" w:rsidRDefault="004A4A40" w:rsidP="00373E0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Envigado - Antioquia</w:t>
            </w:r>
          </w:p>
        </w:tc>
      </w:tr>
      <w:tr w:rsidR="00373E00" w:rsidRPr="00373E00" w14:paraId="319E694D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6D4D4300" w14:textId="0383CF42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Total de Empleados</w:t>
            </w:r>
            <w:r w:rsidRPr="00373E00">
              <w:rPr>
                <w:b/>
              </w:rPr>
              <w:t xml:space="preserve"> 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48103A6E" w14:textId="3289A863" w:rsidR="00373E00" w:rsidRPr="00373E00" w:rsidRDefault="004A4A40" w:rsidP="00373E00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7</w:t>
            </w:r>
          </w:p>
        </w:tc>
      </w:tr>
      <w:tr w:rsidR="00373E00" w:rsidRPr="00373E00" w14:paraId="7B1B5B70" w14:textId="77777777" w:rsidTr="00AF67D4">
        <w:trPr>
          <w:trHeight w:val="420"/>
          <w:jc w:val="center"/>
        </w:trPr>
        <w:tc>
          <w:tcPr>
            <w:tcW w:w="3119" w:type="dxa"/>
            <w:tcBorders>
              <w:bottom w:val="single" w:sz="4" w:space="0" w:color="4F81BD"/>
              <w:right w:val="single" w:sz="4" w:space="0" w:color="4F81BD"/>
            </w:tcBorders>
          </w:tcPr>
          <w:p w14:paraId="4E49ABA5" w14:textId="682D8EBD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Porcentaje de Mujeres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4F81BD"/>
            </w:tcBorders>
          </w:tcPr>
          <w:p w14:paraId="7B4AAEA8" w14:textId="5120738B" w:rsidR="00373E00" w:rsidRPr="00373E00" w:rsidRDefault="00E873A0" w:rsidP="00373E0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86%</w:t>
            </w:r>
          </w:p>
        </w:tc>
      </w:tr>
      <w:tr w:rsidR="00373E00" w:rsidRPr="00373E00" w14:paraId="0F55A734" w14:textId="77777777" w:rsidTr="00AF67D4">
        <w:trPr>
          <w:trHeight w:val="420"/>
          <w:jc w:val="center"/>
        </w:trPr>
        <w:tc>
          <w:tcPr>
            <w:tcW w:w="3119" w:type="dxa"/>
            <w:tcBorders>
              <w:bottom w:val="single" w:sz="4" w:space="0" w:color="4F81BD"/>
              <w:right w:val="single" w:sz="4" w:space="0" w:color="4F81BD"/>
            </w:tcBorders>
          </w:tcPr>
          <w:p w14:paraId="4C5407F6" w14:textId="2F994D1E" w:rsid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Porcentaje de Hombres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4F81BD"/>
            </w:tcBorders>
          </w:tcPr>
          <w:p w14:paraId="4EC24ECB" w14:textId="10EF5098" w:rsidR="00373E00" w:rsidRPr="00373E00" w:rsidRDefault="00E873A0" w:rsidP="00373E0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14%</w:t>
            </w:r>
          </w:p>
        </w:tc>
      </w:tr>
      <w:tr w:rsidR="00373E00" w:rsidRPr="00373E00" w14:paraId="55D6F26D" w14:textId="77777777" w:rsidTr="00AF67D4">
        <w:trPr>
          <w:trHeight w:val="420"/>
          <w:jc w:val="center"/>
        </w:trPr>
        <w:tc>
          <w:tcPr>
            <w:tcW w:w="3119" w:type="dxa"/>
            <w:tcBorders>
              <w:bottom w:val="single" w:sz="4" w:space="0" w:color="4F81BD"/>
              <w:right w:val="single" w:sz="4" w:space="0" w:color="4F81BD"/>
            </w:tcBorders>
          </w:tcPr>
          <w:p w14:paraId="11FDE068" w14:textId="3D95C2FB" w:rsid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Datos de Contacto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4F81BD"/>
            </w:tcBorders>
          </w:tcPr>
          <w:p w14:paraId="32CBE62F" w14:textId="11A18E9D" w:rsidR="00E873A0" w:rsidRDefault="00E873A0" w:rsidP="00373E0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Juliana </w:t>
            </w:r>
            <w:r w:rsidR="00294DC7">
              <w:rPr>
                <w:lang w:val="es-ES"/>
              </w:rPr>
              <w:t xml:space="preserve">Velásquez </w:t>
            </w:r>
          </w:p>
          <w:p w14:paraId="40195D9B" w14:textId="3F1CAE04" w:rsidR="003814AC" w:rsidRDefault="001F2646" w:rsidP="00373E00">
            <w:pPr>
              <w:jc w:val="center"/>
              <w:rPr>
                <w:lang w:val="es-ES"/>
              </w:rPr>
            </w:pPr>
            <w:hyperlink r:id="rId6" w:history="1">
              <w:r w:rsidR="00E873A0" w:rsidRPr="00283F7F">
                <w:rPr>
                  <w:rStyle w:val="Hipervnculo"/>
                  <w:lang w:val="es-ES"/>
                </w:rPr>
                <w:t>Jvelasquez@globalista.co</w:t>
              </w:r>
            </w:hyperlink>
          </w:p>
          <w:p w14:paraId="5396A8CF" w14:textId="036F2038" w:rsidR="00E873A0" w:rsidRPr="00373E00" w:rsidRDefault="00E873A0" w:rsidP="00373E00">
            <w:pPr>
              <w:jc w:val="center"/>
              <w:rPr>
                <w:lang w:val="es-ES"/>
              </w:rPr>
            </w:pPr>
            <w:r w:rsidRPr="00E873A0">
              <w:rPr>
                <w:lang w:val="es-ES"/>
              </w:rPr>
              <w:t>3105509914</w:t>
            </w:r>
          </w:p>
        </w:tc>
      </w:tr>
      <w:tr w:rsidR="00373E00" w:rsidRPr="00373E00" w14:paraId="54F9C072" w14:textId="77777777" w:rsidTr="00357BF3">
        <w:trPr>
          <w:trHeight w:val="517"/>
          <w:jc w:val="center"/>
        </w:trPr>
        <w:tc>
          <w:tcPr>
            <w:tcW w:w="9442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vAlign w:val="center"/>
          </w:tcPr>
          <w:p w14:paraId="1FC49E4D" w14:textId="3C782214" w:rsidR="00373E00" w:rsidRPr="00373E00" w:rsidRDefault="00373E00" w:rsidP="00357BF3">
            <w:pPr>
              <w:jc w:val="center"/>
              <w:rPr>
                <w:b/>
                <w:bCs/>
              </w:rPr>
            </w:pPr>
            <w:r w:rsidRPr="00373E00">
              <w:rPr>
                <w:b/>
                <w:bCs/>
                <w:color w:val="FFFFFF" w:themeColor="background1"/>
              </w:rPr>
              <w:t>CARACTERIZACIÓN DE LA BUENA PRÁCTICA</w:t>
            </w:r>
          </w:p>
        </w:tc>
      </w:tr>
      <w:tr w:rsidR="00373E00" w:rsidRPr="00373E00" w14:paraId="65EB9862" w14:textId="77777777" w:rsidTr="004E65B0">
        <w:trPr>
          <w:trHeight w:val="737"/>
          <w:jc w:val="center"/>
        </w:trPr>
        <w:tc>
          <w:tcPr>
            <w:tcW w:w="3119" w:type="dxa"/>
            <w:tcBorders>
              <w:bottom w:val="single" w:sz="4" w:space="0" w:color="8496B0" w:themeColor="text2" w:themeTint="99"/>
              <w:right w:val="single" w:sz="4" w:space="0" w:color="4F81BD"/>
            </w:tcBorders>
          </w:tcPr>
          <w:p w14:paraId="0C58B267" w14:textId="236B8C70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Fecha de inicio de la implementación de la buena práctica</w:t>
            </w:r>
          </w:p>
        </w:tc>
        <w:tc>
          <w:tcPr>
            <w:tcW w:w="6323" w:type="dxa"/>
            <w:tcBorders>
              <w:left w:val="single" w:sz="4" w:space="0" w:color="4F81BD"/>
              <w:bottom w:val="single" w:sz="4" w:space="0" w:color="8496B0" w:themeColor="text2" w:themeTint="99"/>
            </w:tcBorders>
            <w:vAlign w:val="center"/>
          </w:tcPr>
          <w:p w14:paraId="1EE58352" w14:textId="0B21349A" w:rsidR="00373E00" w:rsidRPr="00E107F4" w:rsidRDefault="00C418D8" w:rsidP="004E65B0">
            <w:pPr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</w:tc>
      </w:tr>
      <w:tr w:rsidR="00373E00" w:rsidRPr="00373E00" w14:paraId="790D7C14" w14:textId="77777777" w:rsidTr="00AF67D4">
        <w:trPr>
          <w:jc w:val="center"/>
        </w:trPr>
        <w:tc>
          <w:tcPr>
            <w:tcW w:w="3119" w:type="dxa"/>
            <w:tcBorders>
              <w:top w:val="single" w:sz="4" w:space="0" w:color="8496B0" w:themeColor="text2" w:themeTint="99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1A41DF44" w14:textId="62FAC529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Nombre de la Buena Práctica</w:t>
            </w:r>
          </w:p>
        </w:tc>
        <w:tc>
          <w:tcPr>
            <w:tcW w:w="6323" w:type="dxa"/>
            <w:tcBorders>
              <w:top w:val="single" w:sz="4" w:space="0" w:color="8496B0" w:themeColor="text2" w:themeTint="99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6C1EEA40" w14:textId="43D238D9" w:rsidR="00373E00" w:rsidRPr="00373E00" w:rsidRDefault="00824D70" w:rsidP="00373E00">
            <w:pPr>
              <w:jc w:val="center"/>
              <w:rPr>
                <w:bCs/>
              </w:rPr>
            </w:pPr>
            <w:r>
              <w:rPr>
                <w:bCs/>
              </w:rPr>
              <w:t>Empleo a mujere</w:t>
            </w:r>
            <w:r w:rsidR="006303DB">
              <w:rPr>
                <w:bCs/>
              </w:rPr>
              <w:t>s cuidadoras y madre</w:t>
            </w:r>
            <w:r w:rsidR="0029669B">
              <w:rPr>
                <w:bCs/>
              </w:rPr>
              <w:t>s</w:t>
            </w:r>
            <w:r w:rsidR="006303DB">
              <w:rPr>
                <w:bCs/>
              </w:rPr>
              <w:t xml:space="preserve"> </w:t>
            </w:r>
          </w:p>
        </w:tc>
      </w:tr>
      <w:tr w:rsidR="00373E00" w:rsidRPr="00373E00" w14:paraId="1F5E5525" w14:textId="77777777" w:rsidTr="00AF67D4">
        <w:trPr>
          <w:jc w:val="center"/>
        </w:trPr>
        <w:tc>
          <w:tcPr>
            <w:tcW w:w="3119" w:type="dxa"/>
            <w:tcBorders>
              <w:right w:val="single" w:sz="4" w:space="0" w:color="4F81BD"/>
            </w:tcBorders>
          </w:tcPr>
          <w:p w14:paraId="155DFB96" w14:textId="2706B120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Problema o necesidad que se intervino</w:t>
            </w:r>
          </w:p>
        </w:tc>
        <w:tc>
          <w:tcPr>
            <w:tcW w:w="6323" w:type="dxa"/>
            <w:tcBorders>
              <w:left w:val="single" w:sz="4" w:space="0" w:color="4F81BD"/>
            </w:tcBorders>
          </w:tcPr>
          <w:p w14:paraId="0D8FCE86" w14:textId="77777777" w:rsidR="00373E00" w:rsidRDefault="005175F8" w:rsidP="001B7A6F">
            <w:pPr>
              <w:ind w:left="22"/>
              <w:jc w:val="both"/>
              <w:rPr>
                <w:bCs/>
              </w:rPr>
            </w:pPr>
            <w:r>
              <w:rPr>
                <w:bCs/>
              </w:rPr>
              <w:t xml:space="preserve">En Colombia las mujeres </w:t>
            </w:r>
            <w:r w:rsidR="00806FC2">
              <w:rPr>
                <w:bCs/>
              </w:rPr>
              <w:t>pocas veces pueden mantener el equilib</w:t>
            </w:r>
            <w:r w:rsidR="00F1158C">
              <w:rPr>
                <w:bCs/>
              </w:rPr>
              <w:t xml:space="preserve">rio de su vida personal, laboral y familiar, </w:t>
            </w:r>
            <w:r w:rsidR="001D3631">
              <w:rPr>
                <w:bCs/>
              </w:rPr>
              <w:t xml:space="preserve">y muchas veces </w:t>
            </w:r>
            <w:r w:rsidR="00082172">
              <w:rPr>
                <w:bCs/>
              </w:rPr>
              <w:t>es una obligación priorizar alguna de ellas en detrimento de la otra</w:t>
            </w:r>
            <w:r w:rsidR="00F1158C">
              <w:rPr>
                <w:bCs/>
              </w:rPr>
              <w:t xml:space="preserve">. En este contexto, </w:t>
            </w:r>
            <w:r w:rsidR="003A713D">
              <w:rPr>
                <w:bCs/>
              </w:rPr>
              <w:t xml:space="preserve">es bien conocido que, al tener un hijo e iniciar una vida familiar, </w:t>
            </w:r>
            <w:r w:rsidR="004C201B">
              <w:rPr>
                <w:bCs/>
              </w:rPr>
              <w:t>las muj</w:t>
            </w:r>
            <w:r w:rsidR="00D83FD5">
              <w:rPr>
                <w:bCs/>
              </w:rPr>
              <w:t>eres salen del mercado laboral para ocuparse de la economía del cuidado</w:t>
            </w:r>
            <w:r w:rsidR="00C67065">
              <w:rPr>
                <w:bCs/>
              </w:rPr>
              <w:t xml:space="preserve">. </w:t>
            </w:r>
          </w:p>
          <w:p w14:paraId="518967C2" w14:textId="18D615C2" w:rsidR="00C67065" w:rsidRPr="00E107F4" w:rsidRDefault="00DC5226" w:rsidP="001B7A6F">
            <w:pPr>
              <w:jc w:val="both"/>
              <w:rPr>
                <w:bCs/>
              </w:rPr>
            </w:pPr>
            <w:r>
              <w:rPr>
                <w:bCs/>
              </w:rPr>
              <w:t xml:space="preserve">Sin embargo, la intención de </w:t>
            </w:r>
            <w:r w:rsidR="008E37A4">
              <w:rPr>
                <w:bCs/>
              </w:rPr>
              <w:t>retomar el empleo y continuar con el desarrollo profesional y económico personal se ve frustrado</w:t>
            </w:r>
            <w:r w:rsidR="00D06132">
              <w:rPr>
                <w:bCs/>
              </w:rPr>
              <w:t xml:space="preserve"> por las dinámicas económicas del contexto Antioqueño. </w:t>
            </w:r>
            <w:r w:rsidR="00875E48">
              <w:rPr>
                <w:bCs/>
              </w:rPr>
              <w:t>Así, el mercado laboral les dice tantas veces que no, que debe</w:t>
            </w:r>
            <w:r w:rsidR="009D6B39">
              <w:rPr>
                <w:bCs/>
              </w:rPr>
              <w:t>n</w:t>
            </w:r>
            <w:r w:rsidR="00875E48">
              <w:rPr>
                <w:bCs/>
              </w:rPr>
              <w:t xml:space="preserve"> volver a empezar, que debe</w:t>
            </w:r>
            <w:r w:rsidR="009D6B39">
              <w:rPr>
                <w:bCs/>
              </w:rPr>
              <w:t>n</w:t>
            </w:r>
            <w:r w:rsidR="00875E48">
              <w:rPr>
                <w:bCs/>
              </w:rPr>
              <w:t xml:space="preserve"> sacrificar su salario</w:t>
            </w:r>
            <w:r w:rsidR="009D6B39">
              <w:rPr>
                <w:bCs/>
              </w:rPr>
              <w:t xml:space="preserve"> y </w:t>
            </w:r>
            <w:r w:rsidR="00465892">
              <w:rPr>
                <w:bCs/>
              </w:rPr>
              <w:t xml:space="preserve">que ya hay una demanda laboral de personas más </w:t>
            </w:r>
            <w:r w:rsidR="009D6B39">
              <w:rPr>
                <w:bCs/>
              </w:rPr>
              <w:t>jóvenes</w:t>
            </w:r>
            <w:r w:rsidR="00D116FB">
              <w:rPr>
                <w:bCs/>
              </w:rPr>
              <w:t>, lo cual resulta creando inseguridades y miedos a estas mujeres</w:t>
            </w:r>
            <w:r w:rsidR="00930DA3">
              <w:rPr>
                <w:bCs/>
              </w:rPr>
              <w:t xml:space="preserve">, aún teniendo todas las capacidades. </w:t>
            </w:r>
          </w:p>
        </w:tc>
      </w:tr>
      <w:tr w:rsidR="00373E00" w:rsidRPr="00373E00" w14:paraId="4231F31E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7D5E02E2" w14:textId="40DFA3A2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t>Antecedentes: ¿Cómo inició?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3ABD8CA9" w14:textId="77777777" w:rsidR="002923C6" w:rsidRDefault="000363D2" w:rsidP="001B7A6F">
            <w:pPr>
              <w:jc w:val="both"/>
              <w:rPr>
                <w:bCs/>
              </w:rPr>
            </w:pPr>
            <w:r>
              <w:rPr>
                <w:bCs/>
              </w:rPr>
              <w:t>Las estrategias que globalista tiene en materia de equidad de género han sido iniciativas orgánicas, es decir, no han obedecido a un decálogo o un manual de acción específico, sino que se ha dado de manera auténtica.</w:t>
            </w:r>
            <w:r w:rsidR="00DE49DC">
              <w:rPr>
                <w:bCs/>
              </w:rPr>
              <w:t xml:space="preserve"> </w:t>
            </w:r>
          </w:p>
          <w:p w14:paraId="1AA189D8" w14:textId="6734DB2C" w:rsidR="000E6873" w:rsidRPr="00373E00" w:rsidRDefault="003E1879" w:rsidP="001B7A6F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Para el caso de esta estrategia en concreto, </w:t>
            </w:r>
            <w:r w:rsidR="005C5244">
              <w:rPr>
                <w:bCs/>
              </w:rPr>
              <w:t xml:space="preserve">hubo un hecho detonante </w:t>
            </w:r>
            <w:r w:rsidR="003C013A">
              <w:rPr>
                <w:bCs/>
              </w:rPr>
              <w:t xml:space="preserve">que tuvo que ver con la gerente administrativa de globalista, una mujer con la experiencia y la preparación profesional </w:t>
            </w:r>
            <w:r w:rsidR="00C90402">
              <w:rPr>
                <w:bCs/>
              </w:rPr>
              <w:t xml:space="preserve">más completa, pero que al tener su primer hijo salió del mercado laboral </w:t>
            </w:r>
            <w:r w:rsidR="000E6F44">
              <w:rPr>
                <w:bCs/>
              </w:rPr>
              <w:t>y cuando volvió buscar empleo</w:t>
            </w:r>
            <w:r w:rsidR="00A267A2">
              <w:rPr>
                <w:bCs/>
              </w:rPr>
              <w:t>, las condiciones laborales ofrecidas no permitían que ella pudiera mantener en equilibrio su vida personal y familiar</w:t>
            </w:r>
            <w:r w:rsidR="00987552">
              <w:rPr>
                <w:bCs/>
              </w:rPr>
              <w:t>, pues no había una oferta de flexibilidad.</w:t>
            </w:r>
            <w:r w:rsidR="00A645A7">
              <w:rPr>
                <w:bCs/>
              </w:rPr>
              <w:t xml:space="preserve"> Con esto en mente, se decide iniciar con una política </w:t>
            </w:r>
            <w:r w:rsidR="00A00E1D">
              <w:rPr>
                <w:bCs/>
              </w:rPr>
              <w:t xml:space="preserve">en globalista </w:t>
            </w:r>
            <w:r w:rsidR="00A645A7">
              <w:rPr>
                <w:bCs/>
              </w:rPr>
              <w:t xml:space="preserve">que </w:t>
            </w:r>
            <w:r w:rsidR="00A00E1D">
              <w:rPr>
                <w:bCs/>
              </w:rPr>
              <w:t xml:space="preserve">le </w:t>
            </w:r>
            <w:r w:rsidR="00A645A7">
              <w:rPr>
                <w:bCs/>
              </w:rPr>
              <w:t xml:space="preserve">permita tener </w:t>
            </w:r>
            <w:r w:rsidR="00A00E1D">
              <w:rPr>
                <w:bCs/>
              </w:rPr>
              <w:t xml:space="preserve">a ella y a otras mujeres </w:t>
            </w:r>
            <w:r w:rsidR="00A645A7">
              <w:rPr>
                <w:bCs/>
              </w:rPr>
              <w:t xml:space="preserve">esa flexibilidad que </w:t>
            </w:r>
            <w:r w:rsidR="00A00E1D">
              <w:rPr>
                <w:bCs/>
              </w:rPr>
              <w:t xml:space="preserve">las </w:t>
            </w:r>
            <w:r w:rsidR="00A645A7">
              <w:rPr>
                <w:bCs/>
              </w:rPr>
              <w:t>madres</w:t>
            </w:r>
            <w:r w:rsidR="00A00E1D">
              <w:rPr>
                <w:bCs/>
              </w:rPr>
              <w:t xml:space="preserve"> y cuidadoras</w:t>
            </w:r>
            <w:r w:rsidR="00A645A7">
              <w:rPr>
                <w:bCs/>
              </w:rPr>
              <w:t xml:space="preserve"> requieren para el desarrollo de su autonomía. </w:t>
            </w:r>
          </w:p>
        </w:tc>
      </w:tr>
      <w:tr w:rsidR="00373E00" w:rsidRPr="00373E00" w14:paraId="2007EFDE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6A9F4A91" w14:textId="04ECD022" w:rsidR="00373E00" w:rsidRPr="00373E00" w:rsidRDefault="00373E00" w:rsidP="00373E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Descripción de la buena práctica ¿En qué consiste?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0AB87A7C" w14:textId="77777777" w:rsidR="003D4B2D" w:rsidRDefault="009053A5" w:rsidP="001B7A6F">
            <w:pPr>
              <w:jc w:val="both"/>
              <w:rPr>
                <w:bCs/>
              </w:rPr>
            </w:pPr>
            <w:r>
              <w:rPr>
                <w:bCs/>
              </w:rPr>
              <w:t xml:space="preserve">Esta iniciativa surge con el objetivo que crear puestos de trabajos para mujeres que </w:t>
            </w:r>
            <w:r w:rsidR="00F404AD">
              <w:rPr>
                <w:bCs/>
              </w:rPr>
              <w:t xml:space="preserve">hayan tenido que abandonar su empleo </w:t>
            </w:r>
            <w:r w:rsidR="00BF26B4">
              <w:rPr>
                <w:bCs/>
              </w:rPr>
              <w:t>debido al</w:t>
            </w:r>
            <w:r w:rsidR="00B06AF1">
              <w:rPr>
                <w:bCs/>
              </w:rPr>
              <w:t xml:space="preserve"> cuidado del hogar y la experiencia de la maternidad</w:t>
            </w:r>
            <w:r w:rsidR="00040010">
              <w:rPr>
                <w:bCs/>
              </w:rPr>
              <w:t xml:space="preserve">, y que hoy quieran reintegrarse al mercado laboral. </w:t>
            </w:r>
          </w:p>
          <w:p w14:paraId="7F8DC129" w14:textId="7C383B80" w:rsidR="00C24FDD" w:rsidRDefault="00BF26B4" w:rsidP="001B7A6F">
            <w:pPr>
              <w:jc w:val="both"/>
              <w:rPr>
                <w:bCs/>
              </w:rPr>
            </w:pPr>
            <w:r>
              <w:rPr>
                <w:bCs/>
              </w:rPr>
              <w:t>Para esto, globalista implementó contratos laborales</w:t>
            </w:r>
            <w:r w:rsidR="00222E1E">
              <w:rPr>
                <w:bCs/>
              </w:rPr>
              <w:t xml:space="preserve"> </w:t>
            </w:r>
            <w:r>
              <w:rPr>
                <w:bCs/>
              </w:rPr>
              <w:t>a término fijo o indefinido</w:t>
            </w:r>
            <w:r w:rsidR="00222E1E">
              <w:rPr>
                <w:bCs/>
              </w:rPr>
              <w:t xml:space="preserve">, pero con la particularidad de que no había una obligación </w:t>
            </w:r>
            <w:r w:rsidR="007A61D3">
              <w:rPr>
                <w:bCs/>
              </w:rPr>
              <w:t>contractual para</w:t>
            </w:r>
            <w:r w:rsidR="00222E1E">
              <w:rPr>
                <w:bCs/>
              </w:rPr>
              <w:t xml:space="preserve"> cumplir un horario </w:t>
            </w:r>
            <w:r w:rsidR="00290E5E">
              <w:rPr>
                <w:bCs/>
              </w:rPr>
              <w:t>especifico.</w:t>
            </w:r>
            <w:r w:rsidR="009307C1">
              <w:rPr>
                <w:bCs/>
              </w:rPr>
              <w:t xml:space="preserve"> </w:t>
            </w:r>
            <w:r w:rsidR="00C24FDD">
              <w:rPr>
                <w:bCs/>
              </w:rPr>
              <w:t>En concreto, con esta estrategia se logra romper la barrera del horario, para que puedan ejercer y coordinar sus labores personales y profesionales.</w:t>
            </w:r>
          </w:p>
          <w:p w14:paraId="737CD185" w14:textId="2992C602" w:rsidR="009041E5" w:rsidRDefault="007A61D3" w:rsidP="001B7A6F">
            <w:pPr>
              <w:jc w:val="both"/>
              <w:rPr>
                <w:bCs/>
              </w:rPr>
            </w:pPr>
            <w:r>
              <w:rPr>
                <w:bCs/>
              </w:rPr>
              <w:t>Con lo anterior se buscaba</w:t>
            </w:r>
            <w:r w:rsidR="009307C1">
              <w:rPr>
                <w:bCs/>
              </w:rPr>
              <w:t xml:space="preserve"> permitir que las mujeres madres y/o cuidadoras pudieran atender las necesidades de su vida personal sin que e</w:t>
            </w:r>
            <w:r w:rsidR="00CA3020">
              <w:rPr>
                <w:bCs/>
              </w:rPr>
              <w:t xml:space="preserve">llo perjudicara su entorno laboral y la conservación de sus cargos. </w:t>
            </w:r>
            <w:r w:rsidR="009041E5">
              <w:rPr>
                <w:bCs/>
              </w:rPr>
              <w:t xml:space="preserve">Para esto se trabaja bajo unos roles, unos resultados y </w:t>
            </w:r>
            <w:r w:rsidR="00456D25">
              <w:rPr>
                <w:bCs/>
              </w:rPr>
              <w:t>unas actividades, pero cada una establecía su horario para cumplir con sus requerimientos contractuales.</w:t>
            </w:r>
          </w:p>
          <w:p w14:paraId="64CF6FC7" w14:textId="77777777" w:rsidR="00E57D55" w:rsidRDefault="002E222A" w:rsidP="001B7A6F">
            <w:pPr>
              <w:jc w:val="both"/>
              <w:rPr>
                <w:bCs/>
              </w:rPr>
            </w:pPr>
            <w:r>
              <w:rPr>
                <w:bCs/>
              </w:rPr>
              <w:t>Adicionalmente</w:t>
            </w:r>
            <w:r w:rsidR="00A95B80">
              <w:rPr>
                <w:bCs/>
              </w:rPr>
              <w:t xml:space="preserve">, se </w:t>
            </w:r>
            <w:r w:rsidR="00C24FDD">
              <w:rPr>
                <w:bCs/>
              </w:rPr>
              <w:t>hace un</w:t>
            </w:r>
            <w:r>
              <w:rPr>
                <w:bCs/>
              </w:rPr>
              <w:t xml:space="preserve"> proceso dentro de la empresa para la </w:t>
            </w:r>
            <w:r w:rsidR="00C24FDD">
              <w:rPr>
                <w:bCs/>
              </w:rPr>
              <w:t>transición en formación, seguridad</w:t>
            </w:r>
            <w:r>
              <w:rPr>
                <w:bCs/>
              </w:rPr>
              <w:t xml:space="preserve"> y </w:t>
            </w:r>
            <w:r w:rsidR="00C24FDD">
              <w:rPr>
                <w:bCs/>
              </w:rPr>
              <w:t xml:space="preserve">empoderamiento, </w:t>
            </w:r>
            <w:r>
              <w:rPr>
                <w:bCs/>
              </w:rPr>
              <w:t>de tal forma que estas mujeres puedan</w:t>
            </w:r>
            <w:r w:rsidR="00C24FDD">
              <w:rPr>
                <w:bCs/>
              </w:rPr>
              <w:t xml:space="preserve"> volver a generar esa confianza</w:t>
            </w:r>
            <w:r>
              <w:rPr>
                <w:bCs/>
              </w:rPr>
              <w:t xml:space="preserve"> que perdieron. </w:t>
            </w:r>
            <w:r w:rsidR="00896855">
              <w:rPr>
                <w:bCs/>
              </w:rPr>
              <w:t xml:space="preserve">Para esto se incluye </w:t>
            </w:r>
            <w:r w:rsidR="00AB50E1">
              <w:rPr>
                <w:bCs/>
              </w:rPr>
              <w:t xml:space="preserve">la remuneración variable, donde se les da a las personas un programa de formación pago que la persona desee escoger. </w:t>
            </w:r>
          </w:p>
          <w:p w14:paraId="7BFC7B02" w14:textId="038FE153" w:rsidR="000C4E19" w:rsidRPr="00373E00" w:rsidRDefault="000C4E19" w:rsidP="001B7A6F">
            <w:pPr>
              <w:jc w:val="both"/>
              <w:rPr>
                <w:bCs/>
              </w:rPr>
            </w:pPr>
            <w:r>
              <w:rPr>
                <w:bCs/>
              </w:rPr>
              <w:t xml:space="preserve">Así, para estas mujeres siempre se ofrece una formación en liderazgo, gerencia de proyectos, o en algo que las empodere y las nivele en términos psicológicos. </w:t>
            </w:r>
            <w:r w:rsidR="00421618">
              <w:rPr>
                <w:bCs/>
              </w:rPr>
              <w:t xml:space="preserve">Esta formación se realiza dentro del horario laboral, de forma tal que las mujeres que quieran acceder a ella no deban </w:t>
            </w:r>
            <w:r w:rsidR="00E95458">
              <w:rPr>
                <w:bCs/>
              </w:rPr>
              <w:t xml:space="preserve">sacar el tiempo extra que suelen invertir en el cuidado de sus familias. </w:t>
            </w:r>
          </w:p>
        </w:tc>
      </w:tr>
      <w:tr w:rsidR="00373E00" w:rsidRPr="00373E00" w14:paraId="6D0566EC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49DF7A89" w14:textId="6BD2C504" w:rsidR="00373E00" w:rsidRPr="00373E00" w:rsidRDefault="00AF67D4" w:rsidP="00373E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Alianzas existentes en el marco de la experiencia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1D6CABBE" w14:textId="5379B88A" w:rsidR="00F80566" w:rsidRPr="00373E00" w:rsidRDefault="00136E28" w:rsidP="001B7A6F">
            <w:pPr>
              <w:jc w:val="both"/>
              <w:rPr>
                <w:bCs/>
              </w:rPr>
            </w:pPr>
            <w:r>
              <w:rPr>
                <w:bCs/>
              </w:rPr>
              <w:t xml:space="preserve">No se han realizado alianzas para la implementación de esa estrategia. </w:t>
            </w:r>
          </w:p>
        </w:tc>
      </w:tr>
      <w:tr w:rsidR="00AF67D4" w:rsidRPr="00373E00" w14:paraId="0A1A3016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04325CB7" w14:textId="08FCD6F6" w:rsidR="00AF67D4" w:rsidRDefault="00AF67D4" w:rsidP="00373E00">
            <w:pPr>
              <w:jc w:val="center"/>
              <w:rPr>
                <w:b/>
              </w:rPr>
            </w:pPr>
            <w:r>
              <w:rPr>
                <w:b/>
              </w:rPr>
              <w:t>Beneficios o resultados obtenidos en la empresa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7554B229" w14:textId="6A928197" w:rsidR="00733FAA" w:rsidRDefault="00C418D8" w:rsidP="001B7A6F">
            <w:pPr>
              <w:jc w:val="both"/>
              <w:rPr>
                <w:bCs/>
              </w:rPr>
            </w:pPr>
            <w:r>
              <w:rPr>
                <w:bCs/>
              </w:rPr>
              <w:t>Esta estrategia a permitido consolidar un talento humano excepcional</w:t>
            </w:r>
            <w:r w:rsidR="00F75D68">
              <w:rPr>
                <w:bCs/>
              </w:rPr>
              <w:t>, pues l</w:t>
            </w:r>
            <w:r>
              <w:rPr>
                <w:bCs/>
              </w:rPr>
              <w:t>a calidad d</w:t>
            </w:r>
            <w:r w:rsidR="00F75D68">
              <w:rPr>
                <w:bCs/>
              </w:rPr>
              <w:t xml:space="preserve">el trabajo de estas mujeres es evidente. </w:t>
            </w:r>
            <w:r w:rsidR="00565962">
              <w:rPr>
                <w:bCs/>
              </w:rPr>
              <w:t xml:space="preserve">Además, </w:t>
            </w:r>
            <w:r w:rsidR="006E18F4">
              <w:rPr>
                <w:bCs/>
              </w:rPr>
              <w:t xml:space="preserve">se ha evidenciado una mejora en </w:t>
            </w:r>
            <w:r w:rsidR="00565962">
              <w:rPr>
                <w:bCs/>
              </w:rPr>
              <w:t>el salario emociona</w:t>
            </w:r>
            <w:r w:rsidR="006E18F4">
              <w:rPr>
                <w:bCs/>
              </w:rPr>
              <w:t xml:space="preserve">l, el cual </w:t>
            </w:r>
            <w:r w:rsidR="00565962">
              <w:rPr>
                <w:bCs/>
              </w:rPr>
              <w:t xml:space="preserve">es </w:t>
            </w:r>
            <w:r w:rsidR="00F657C5">
              <w:rPr>
                <w:bCs/>
              </w:rPr>
              <w:t xml:space="preserve">importante no solo para ellas, sino que también beneficia el desempeño y las relaciones dentro de la empresa. </w:t>
            </w:r>
          </w:p>
          <w:p w14:paraId="1B1B8717" w14:textId="37D1828A" w:rsidR="006E18F4" w:rsidRPr="00373E00" w:rsidRDefault="006E18F4" w:rsidP="001B7A6F">
            <w:pPr>
              <w:jc w:val="both"/>
              <w:rPr>
                <w:bCs/>
              </w:rPr>
            </w:pPr>
            <w:r>
              <w:rPr>
                <w:bCs/>
              </w:rPr>
              <w:t xml:space="preserve">Esta estrategia ha permitido </w:t>
            </w:r>
            <w:r w:rsidR="00C404BB">
              <w:rPr>
                <w:bCs/>
              </w:rPr>
              <w:t xml:space="preserve">consolidar mayores niveles de seguridad en el proceso de reintegración al mercado laboral, </w:t>
            </w:r>
            <w:r w:rsidR="004D5F05">
              <w:rPr>
                <w:bCs/>
              </w:rPr>
              <w:t xml:space="preserve">especialmente teniendo en cuenta que fueron mujeres que tuvieron la puerta cerrada muchos años. </w:t>
            </w:r>
          </w:p>
        </w:tc>
      </w:tr>
      <w:tr w:rsidR="00AF67D4" w:rsidRPr="00373E00" w14:paraId="653EF921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196A75BC" w14:textId="5CA50B8F" w:rsidR="00AF67D4" w:rsidRDefault="00AF67D4" w:rsidP="00373E00">
            <w:pPr>
              <w:jc w:val="center"/>
              <w:rPr>
                <w:b/>
              </w:rPr>
            </w:pPr>
            <w:r>
              <w:rPr>
                <w:b/>
              </w:rPr>
              <w:t>Acciones de mejora o lecciones aprendidas en el proceso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243375E8" w14:textId="4A0152EC" w:rsidR="007D41E0" w:rsidRPr="00373E00" w:rsidRDefault="006C5735" w:rsidP="001B7A6F">
            <w:pPr>
              <w:jc w:val="both"/>
              <w:rPr>
                <w:bCs/>
              </w:rPr>
            </w:pPr>
            <w:r>
              <w:rPr>
                <w:bCs/>
              </w:rPr>
              <w:t xml:space="preserve">Es necesario empezar a medir los impactos de estas acciones en cifras e indicadores puntuales, es un reto que se tiene al interior de la empresa y que puede </w:t>
            </w:r>
            <w:r w:rsidR="00AD218A">
              <w:rPr>
                <w:bCs/>
              </w:rPr>
              <w:t xml:space="preserve">dar muchas luces para seguir avanzando en materia de equidad. </w:t>
            </w:r>
          </w:p>
        </w:tc>
      </w:tr>
      <w:tr w:rsidR="00AF67D4" w:rsidRPr="00373E00" w14:paraId="29307907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7DE3769B" w14:textId="5DCAB3AC" w:rsidR="00AF67D4" w:rsidRDefault="00AF67D4" w:rsidP="00373E00">
            <w:pPr>
              <w:jc w:val="center"/>
              <w:rPr>
                <w:b/>
              </w:rPr>
            </w:pPr>
            <w:r w:rsidRPr="00AF67D4">
              <w:rPr>
                <w:b/>
              </w:rPr>
              <w:t>¿Existe un proceso de divulgación o socialización de la buena práctica? ¿Cómo se realiza?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1A4A2314" w14:textId="7411F477" w:rsidR="00AF67D4" w:rsidRPr="00373E00" w:rsidRDefault="00AC4C9E" w:rsidP="001B7A6F">
            <w:pPr>
              <w:jc w:val="both"/>
              <w:rPr>
                <w:bCs/>
              </w:rPr>
            </w:pPr>
            <w:r>
              <w:rPr>
                <w:bCs/>
              </w:rPr>
              <w:t xml:space="preserve">Específicamente no hay una estrategia de comunicación, más bien se trata de focalizar el perfil </w:t>
            </w:r>
            <w:r w:rsidR="00C63D5E">
              <w:rPr>
                <w:bCs/>
              </w:rPr>
              <w:t xml:space="preserve">laboral orientado a la población que se busca. Además, se realizan las convocatorias y ofertas periódicas </w:t>
            </w:r>
            <w:r w:rsidR="00DE5D5E">
              <w:rPr>
                <w:bCs/>
              </w:rPr>
              <w:t xml:space="preserve">para los procesos de formación de las empleadas en la empresa y se les comunica las opciones que tienen de capacitación en diferentes temas que les puedan interesar. </w:t>
            </w:r>
          </w:p>
        </w:tc>
      </w:tr>
      <w:tr w:rsidR="00AF67D4" w:rsidRPr="00373E00" w14:paraId="3C6F2ECB" w14:textId="77777777" w:rsidTr="00AF67D4">
        <w:trPr>
          <w:jc w:val="center"/>
        </w:trPr>
        <w:tc>
          <w:tcPr>
            <w:tcW w:w="311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4F81BD"/>
            </w:tcBorders>
          </w:tcPr>
          <w:p w14:paraId="3F632289" w14:textId="32C584DA" w:rsidR="00AF67D4" w:rsidRPr="00AF67D4" w:rsidRDefault="00AF67D4" w:rsidP="00373E00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D</w:t>
            </w:r>
            <w:r w:rsidRPr="00AF67D4">
              <w:rPr>
                <w:b/>
              </w:rPr>
              <w:t>e ser replicable la experiencia ¿Cuáles son los criterios de replicabilidad? ¿Quiénes pueden hacerlo?</w:t>
            </w:r>
          </w:p>
        </w:tc>
        <w:tc>
          <w:tcPr>
            <w:tcW w:w="6323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8" w:space="0" w:color="4F81BD"/>
            </w:tcBorders>
          </w:tcPr>
          <w:p w14:paraId="6F2E34C9" w14:textId="5AAC01F2" w:rsidR="00F75A3E" w:rsidRDefault="007B231E" w:rsidP="001B7A6F">
            <w:pPr>
              <w:jc w:val="both"/>
              <w:rPr>
                <w:bCs/>
              </w:rPr>
            </w:pPr>
            <w:r>
              <w:rPr>
                <w:bCs/>
              </w:rPr>
              <w:t>Así como se invierte en formación</w:t>
            </w:r>
            <w:r w:rsidR="00A70F9E">
              <w:rPr>
                <w:bCs/>
              </w:rPr>
              <w:t xml:space="preserve"> e innovación, es necesario que las empresas inviertan en preguntarse </w:t>
            </w:r>
            <w:r w:rsidR="00FD38CA">
              <w:rPr>
                <w:bCs/>
              </w:rPr>
              <w:t xml:space="preserve">e identificar </w:t>
            </w:r>
            <w:r w:rsidR="00A70F9E">
              <w:rPr>
                <w:bCs/>
              </w:rPr>
              <w:t>qu</w:t>
            </w:r>
            <w:r w:rsidR="00DF122F">
              <w:rPr>
                <w:bCs/>
              </w:rPr>
              <w:t xml:space="preserve">é </w:t>
            </w:r>
            <w:r w:rsidR="00A70F9E">
              <w:rPr>
                <w:bCs/>
              </w:rPr>
              <w:t xml:space="preserve">pasa al interior de ellas </w:t>
            </w:r>
            <w:r w:rsidR="00DF122F">
              <w:rPr>
                <w:bCs/>
              </w:rPr>
              <w:t>en materia de equidad de género</w:t>
            </w:r>
            <w:r w:rsidR="00FD38CA">
              <w:rPr>
                <w:bCs/>
              </w:rPr>
              <w:t xml:space="preserve">, y apuntarle a la solución de esos problemas. </w:t>
            </w:r>
          </w:p>
          <w:p w14:paraId="5930B3D1" w14:textId="3DCEB5C2" w:rsidR="00FD38CA" w:rsidRPr="00373E00" w:rsidRDefault="00FD38CA" w:rsidP="001B7A6F">
            <w:pPr>
              <w:jc w:val="both"/>
              <w:rPr>
                <w:bCs/>
              </w:rPr>
            </w:pPr>
            <w:r>
              <w:rPr>
                <w:bCs/>
              </w:rPr>
              <w:t>Además, es necesario entender que el problema de invertir en equidad de género</w:t>
            </w:r>
            <w:r w:rsidR="007E769D">
              <w:rPr>
                <w:bCs/>
              </w:rPr>
              <w:t xml:space="preserve"> compete a la sociedad, a las empresas y a los gobiernos</w:t>
            </w:r>
            <w:r w:rsidR="00FB1011">
              <w:rPr>
                <w:bCs/>
              </w:rPr>
              <w:t xml:space="preserve">, por </w:t>
            </w:r>
            <w:r w:rsidR="009D52AB">
              <w:rPr>
                <w:bCs/>
              </w:rPr>
              <w:t>tanto,</w:t>
            </w:r>
            <w:r w:rsidR="00FB1011">
              <w:rPr>
                <w:bCs/>
              </w:rPr>
              <w:t xml:space="preserve"> la inversión no compete al empleado</w:t>
            </w:r>
            <w:r w:rsidR="009D52AB">
              <w:rPr>
                <w:bCs/>
              </w:rPr>
              <w:t xml:space="preserve"> y no debe ser este el que se cargue de </w:t>
            </w:r>
            <w:r w:rsidR="002502A0">
              <w:rPr>
                <w:bCs/>
              </w:rPr>
              <w:t xml:space="preserve">obligaciones para que pueda acceder a estos beneficios. </w:t>
            </w:r>
          </w:p>
        </w:tc>
      </w:tr>
    </w:tbl>
    <w:p w14:paraId="51339868" w14:textId="77777777" w:rsidR="00373E00" w:rsidRPr="00373E00" w:rsidRDefault="00373E00" w:rsidP="00324C94">
      <w:pPr>
        <w:rPr>
          <w:lang w:val="es-ES"/>
        </w:rPr>
      </w:pPr>
    </w:p>
    <w:sectPr w:rsidR="00373E00" w:rsidRPr="00373E00" w:rsidSect="00357BF3">
      <w:foot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55A94" w14:textId="77777777" w:rsidR="001F2646" w:rsidRDefault="001F2646" w:rsidP="00373E00">
      <w:r>
        <w:separator/>
      </w:r>
    </w:p>
  </w:endnote>
  <w:endnote w:type="continuationSeparator" w:id="0">
    <w:p w14:paraId="274FBF6E" w14:textId="77777777" w:rsidR="001F2646" w:rsidRDefault="001F2646" w:rsidP="0037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5F65" w14:textId="41D1235C" w:rsidR="00373E00" w:rsidRDefault="00373E00" w:rsidP="00373E00">
    <w:pPr>
      <w:pStyle w:val="Piedepgina"/>
      <w:jc w:val="right"/>
    </w:pPr>
    <w:r>
      <w:rPr>
        <w:noProof/>
      </w:rPr>
      <w:drawing>
        <wp:inline distT="0" distB="0" distL="0" distR="0" wp14:anchorId="527461F5" wp14:editId="55DEE273">
          <wp:extent cx="889000" cy="889000"/>
          <wp:effectExtent l="0" t="0" r="635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333BBB4" wp14:editId="52B4E346">
          <wp:extent cx="914400" cy="9144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F4647FB" wp14:editId="16442D92">
          <wp:extent cx="1333500" cy="887924"/>
          <wp:effectExtent l="0" t="0" r="0" b="762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168" cy="9150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8B059" w14:textId="77777777" w:rsidR="001F2646" w:rsidRDefault="001F2646" w:rsidP="00373E00">
      <w:r>
        <w:separator/>
      </w:r>
    </w:p>
  </w:footnote>
  <w:footnote w:type="continuationSeparator" w:id="0">
    <w:p w14:paraId="158C7236" w14:textId="77777777" w:rsidR="001F2646" w:rsidRDefault="001F2646" w:rsidP="00373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00"/>
    <w:rsid w:val="00007692"/>
    <w:rsid w:val="000363D2"/>
    <w:rsid w:val="00040010"/>
    <w:rsid w:val="00050E0B"/>
    <w:rsid w:val="00053B86"/>
    <w:rsid w:val="00064225"/>
    <w:rsid w:val="00082172"/>
    <w:rsid w:val="000B7F19"/>
    <w:rsid w:val="000C4E19"/>
    <w:rsid w:val="000C4EF7"/>
    <w:rsid w:val="000E6873"/>
    <w:rsid w:val="000E6F44"/>
    <w:rsid w:val="000F187D"/>
    <w:rsid w:val="00136E28"/>
    <w:rsid w:val="00145844"/>
    <w:rsid w:val="00162AAA"/>
    <w:rsid w:val="00175ADC"/>
    <w:rsid w:val="001B7A6F"/>
    <w:rsid w:val="001D3631"/>
    <w:rsid w:val="001F2646"/>
    <w:rsid w:val="001F4EBC"/>
    <w:rsid w:val="001F5DDC"/>
    <w:rsid w:val="002206F7"/>
    <w:rsid w:val="00222E1E"/>
    <w:rsid w:val="002269FB"/>
    <w:rsid w:val="00232498"/>
    <w:rsid w:val="002502A0"/>
    <w:rsid w:val="00283EA6"/>
    <w:rsid w:val="00290E5E"/>
    <w:rsid w:val="002923C6"/>
    <w:rsid w:val="00294DC7"/>
    <w:rsid w:val="00296009"/>
    <w:rsid w:val="0029669B"/>
    <w:rsid w:val="002C4098"/>
    <w:rsid w:val="002E222A"/>
    <w:rsid w:val="003017FA"/>
    <w:rsid w:val="0032249E"/>
    <w:rsid w:val="00324C94"/>
    <w:rsid w:val="00357BF3"/>
    <w:rsid w:val="0037057A"/>
    <w:rsid w:val="00373E00"/>
    <w:rsid w:val="003814AC"/>
    <w:rsid w:val="003A713D"/>
    <w:rsid w:val="003C013A"/>
    <w:rsid w:val="003D18C3"/>
    <w:rsid w:val="003D4B2D"/>
    <w:rsid w:val="003E1879"/>
    <w:rsid w:val="00400AA5"/>
    <w:rsid w:val="00420BA1"/>
    <w:rsid w:val="00421618"/>
    <w:rsid w:val="004317AF"/>
    <w:rsid w:val="00456D25"/>
    <w:rsid w:val="00465892"/>
    <w:rsid w:val="004A4A40"/>
    <w:rsid w:val="004C201B"/>
    <w:rsid w:val="004D5F05"/>
    <w:rsid w:val="004E65B0"/>
    <w:rsid w:val="004F685B"/>
    <w:rsid w:val="005175F8"/>
    <w:rsid w:val="00565962"/>
    <w:rsid w:val="00566416"/>
    <w:rsid w:val="005666A5"/>
    <w:rsid w:val="00566D47"/>
    <w:rsid w:val="005C5244"/>
    <w:rsid w:val="006303DB"/>
    <w:rsid w:val="0064458F"/>
    <w:rsid w:val="00660405"/>
    <w:rsid w:val="006C5735"/>
    <w:rsid w:val="006D41E6"/>
    <w:rsid w:val="006E18F4"/>
    <w:rsid w:val="006E5538"/>
    <w:rsid w:val="006E7986"/>
    <w:rsid w:val="007209B7"/>
    <w:rsid w:val="00727F84"/>
    <w:rsid w:val="00733FAA"/>
    <w:rsid w:val="007518ED"/>
    <w:rsid w:val="007A61D3"/>
    <w:rsid w:val="007B0B6F"/>
    <w:rsid w:val="007B231E"/>
    <w:rsid w:val="007D41E0"/>
    <w:rsid w:val="007E769D"/>
    <w:rsid w:val="00806FC2"/>
    <w:rsid w:val="00824D70"/>
    <w:rsid w:val="008474F2"/>
    <w:rsid w:val="00875E48"/>
    <w:rsid w:val="00893AF7"/>
    <w:rsid w:val="00896855"/>
    <w:rsid w:val="008A0086"/>
    <w:rsid w:val="008A4817"/>
    <w:rsid w:val="008C30A4"/>
    <w:rsid w:val="008E37A4"/>
    <w:rsid w:val="009041E5"/>
    <w:rsid w:val="009053A5"/>
    <w:rsid w:val="009307C1"/>
    <w:rsid w:val="00930DA3"/>
    <w:rsid w:val="00965D5E"/>
    <w:rsid w:val="00966548"/>
    <w:rsid w:val="00987552"/>
    <w:rsid w:val="00997D40"/>
    <w:rsid w:val="009A3D4F"/>
    <w:rsid w:val="009A4868"/>
    <w:rsid w:val="009D52AB"/>
    <w:rsid w:val="009D6B39"/>
    <w:rsid w:val="009E17DE"/>
    <w:rsid w:val="00A00E1D"/>
    <w:rsid w:val="00A10BF0"/>
    <w:rsid w:val="00A16A66"/>
    <w:rsid w:val="00A264A0"/>
    <w:rsid w:val="00A267A2"/>
    <w:rsid w:val="00A45782"/>
    <w:rsid w:val="00A45D9D"/>
    <w:rsid w:val="00A60485"/>
    <w:rsid w:val="00A645A7"/>
    <w:rsid w:val="00A70F9E"/>
    <w:rsid w:val="00A772A4"/>
    <w:rsid w:val="00A84B80"/>
    <w:rsid w:val="00A95B80"/>
    <w:rsid w:val="00AA3C1D"/>
    <w:rsid w:val="00AB50E1"/>
    <w:rsid w:val="00AC4C9E"/>
    <w:rsid w:val="00AD218A"/>
    <w:rsid w:val="00AE0BCD"/>
    <w:rsid w:val="00AF67D4"/>
    <w:rsid w:val="00B014E1"/>
    <w:rsid w:val="00B06AF1"/>
    <w:rsid w:val="00B631DB"/>
    <w:rsid w:val="00B65F00"/>
    <w:rsid w:val="00B67A22"/>
    <w:rsid w:val="00BF26B4"/>
    <w:rsid w:val="00C02D66"/>
    <w:rsid w:val="00C23EA6"/>
    <w:rsid w:val="00C23F15"/>
    <w:rsid w:val="00C24FDD"/>
    <w:rsid w:val="00C404BB"/>
    <w:rsid w:val="00C418D8"/>
    <w:rsid w:val="00C57892"/>
    <w:rsid w:val="00C63D5E"/>
    <w:rsid w:val="00C67065"/>
    <w:rsid w:val="00C90402"/>
    <w:rsid w:val="00C924FA"/>
    <w:rsid w:val="00CA02E7"/>
    <w:rsid w:val="00CA3020"/>
    <w:rsid w:val="00CA62FD"/>
    <w:rsid w:val="00D06132"/>
    <w:rsid w:val="00D06AE5"/>
    <w:rsid w:val="00D103D0"/>
    <w:rsid w:val="00D116FB"/>
    <w:rsid w:val="00D35CE3"/>
    <w:rsid w:val="00D427E0"/>
    <w:rsid w:val="00D83FD5"/>
    <w:rsid w:val="00D86E9C"/>
    <w:rsid w:val="00DC5226"/>
    <w:rsid w:val="00DE0F77"/>
    <w:rsid w:val="00DE49DC"/>
    <w:rsid w:val="00DE5D5E"/>
    <w:rsid w:val="00DF122F"/>
    <w:rsid w:val="00E00253"/>
    <w:rsid w:val="00E107F4"/>
    <w:rsid w:val="00E42B7F"/>
    <w:rsid w:val="00E55984"/>
    <w:rsid w:val="00E57D55"/>
    <w:rsid w:val="00E873A0"/>
    <w:rsid w:val="00E95458"/>
    <w:rsid w:val="00EC3515"/>
    <w:rsid w:val="00F1158C"/>
    <w:rsid w:val="00F17715"/>
    <w:rsid w:val="00F20C43"/>
    <w:rsid w:val="00F20DDF"/>
    <w:rsid w:val="00F404AD"/>
    <w:rsid w:val="00F657C5"/>
    <w:rsid w:val="00F75A3E"/>
    <w:rsid w:val="00F75D68"/>
    <w:rsid w:val="00F80566"/>
    <w:rsid w:val="00F93698"/>
    <w:rsid w:val="00FA3509"/>
    <w:rsid w:val="00FB1011"/>
    <w:rsid w:val="00FD38CA"/>
    <w:rsid w:val="00FE2113"/>
    <w:rsid w:val="00FE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82A0"/>
  <w15:chartTrackingRefBased/>
  <w15:docId w15:val="{62B37913-0D70-FE4B-BBDC-178DE09A5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3E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3E00"/>
  </w:style>
  <w:style w:type="paragraph" w:styleId="Piedepgina">
    <w:name w:val="footer"/>
    <w:basedOn w:val="Normal"/>
    <w:link w:val="PiedepginaCar"/>
    <w:uiPriority w:val="99"/>
    <w:unhideWhenUsed/>
    <w:rsid w:val="00373E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3E00"/>
  </w:style>
  <w:style w:type="character" w:styleId="Hipervnculo">
    <w:name w:val="Hyperlink"/>
    <w:basedOn w:val="Fuentedeprrafopredeter"/>
    <w:uiPriority w:val="99"/>
    <w:unhideWhenUsed/>
    <w:rsid w:val="00E873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73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velasquez@globalista.c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940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Rojas Bermeo</dc:creator>
  <cp:keywords/>
  <dc:description/>
  <cp:lastModifiedBy>Diana Paola Rojas Bermeo</cp:lastModifiedBy>
  <cp:revision>2</cp:revision>
  <dcterms:created xsi:type="dcterms:W3CDTF">2021-09-26T19:39:00Z</dcterms:created>
  <dcterms:modified xsi:type="dcterms:W3CDTF">2021-09-26T19:39:00Z</dcterms:modified>
</cp:coreProperties>
</file>